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1B0F0" w14:textId="77777777" w:rsidR="005A4D33" w:rsidRPr="00AA63C8" w:rsidRDefault="00E16507" w:rsidP="00E16507">
      <w:pPr>
        <w:jc w:val="center"/>
        <w:rPr>
          <w:b/>
          <w:sz w:val="20"/>
          <w:szCs w:val="20"/>
        </w:rPr>
      </w:pPr>
      <w:r w:rsidRPr="00AA63C8">
        <w:rPr>
          <w:b/>
          <w:sz w:val="20"/>
          <w:szCs w:val="20"/>
        </w:rPr>
        <w:t>Relativpronomen</w:t>
      </w:r>
    </w:p>
    <w:p w14:paraId="544DA6BA" w14:textId="77777777" w:rsidR="00037304" w:rsidRPr="00AA63C8" w:rsidRDefault="00037304" w:rsidP="00E16507">
      <w:pPr>
        <w:jc w:val="center"/>
        <w:rPr>
          <w:b/>
          <w:sz w:val="20"/>
          <w:szCs w:val="20"/>
          <w:lang w:val="de-DE"/>
        </w:rPr>
      </w:pPr>
    </w:p>
    <w:p w14:paraId="4202089C" w14:textId="77105CAA" w:rsidR="00037304" w:rsidRPr="00C81538" w:rsidRDefault="00037304" w:rsidP="00C81538">
      <w:pPr>
        <w:pStyle w:val="ListParagraph"/>
        <w:numPr>
          <w:ilvl w:val="0"/>
          <w:numId w:val="4"/>
        </w:numPr>
        <w:rPr>
          <w:sz w:val="20"/>
          <w:szCs w:val="20"/>
          <w:lang w:val="de-DE"/>
        </w:rPr>
      </w:pPr>
      <w:r w:rsidRPr="00C81538">
        <w:rPr>
          <w:sz w:val="20"/>
          <w:szCs w:val="20"/>
          <w:lang w:val="de-DE"/>
        </w:rPr>
        <w:t>Der Relativsatz</w:t>
      </w:r>
      <w:r w:rsidR="00183F59" w:rsidRPr="00C81538">
        <w:rPr>
          <w:sz w:val="20"/>
          <w:szCs w:val="20"/>
          <w:lang w:val="de-DE"/>
        </w:rPr>
        <w:t xml:space="preserve"> [=relative clause]</w:t>
      </w:r>
      <w:r w:rsidRPr="00C81538">
        <w:rPr>
          <w:sz w:val="20"/>
          <w:szCs w:val="20"/>
          <w:lang w:val="de-DE"/>
        </w:rPr>
        <w:t xml:space="preserve"> kommt </w:t>
      </w:r>
      <w:r w:rsidRPr="00C81538">
        <w:rPr>
          <w:b/>
          <w:sz w:val="20"/>
          <w:szCs w:val="20"/>
          <w:lang w:val="de-DE"/>
        </w:rPr>
        <w:t>direkt</w:t>
      </w:r>
      <w:r w:rsidRPr="00C81538">
        <w:rPr>
          <w:sz w:val="20"/>
          <w:szCs w:val="20"/>
          <w:lang w:val="de-DE"/>
        </w:rPr>
        <w:t xml:space="preserve"> nach dem Nomen, das es beschreibt:</w:t>
      </w:r>
    </w:p>
    <w:p w14:paraId="631116BF" w14:textId="777AF282" w:rsidR="00037304" w:rsidRPr="00AA63C8" w:rsidRDefault="00037304" w:rsidP="00037304">
      <w:pPr>
        <w:rPr>
          <w:i/>
          <w:sz w:val="20"/>
          <w:szCs w:val="20"/>
          <w:lang w:val="de-DE"/>
        </w:rPr>
      </w:pPr>
      <w:r w:rsidRPr="00AA63C8">
        <w:rPr>
          <w:sz w:val="20"/>
          <w:szCs w:val="20"/>
          <w:lang w:val="de-DE"/>
        </w:rPr>
        <w:tab/>
      </w:r>
      <w:r w:rsidRPr="00AA63C8">
        <w:rPr>
          <w:i/>
          <w:sz w:val="20"/>
          <w:szCs w:val="20"/>
          <w:lang w:val="de-DE"/>
        </w:rPr>
        <w:t xml:space="preserve">Micha ist ein netter </w:t>
      </w:r>
      <w:r w:rsidRPr="00AA63C8">
        <w:rPr>
          <w:b/>
          <w:i/>
          <w:sz w:val="20"/>
          <w:szCs w:val="20"/>
          <w:lang w:val="de-DE"/>
        </w:rPr>
        <w:t>Typ</w:t>
      </w:r>
      <w:r w:rsidRPr="00AA63C8">
        <w:rPr>
          <w:i/>
          <w:sz w:val="20"/>
          <w:szCs w:val="20"/>
          <w:lang w:val="de-DE"/>
        </w:rPr>
        <w:t xml:space="preserve">, </w:t>
      </w:r>
      <w:r w:rsidRPr="00AA63C8">
        <w:rPr>
          <w:b/>
          <w:i/>
          <w:sz w:val="20"/>
          <w:szCs w:val="20"/>
          <w:u w:val="single"/>
          <w:lang w:val="de-DE"/>
        </w:rPr>
        <w:t>der</w:t>
      </w:r>
      <w:r w:rsidRPr="00AA63C8">
        <w:rPr>
          <w:i/>
          <w:sz w:val="20"/>
          <w:szCs w:val="20"/>
          <w:lang w:val="de-DE"/>
        </w:rPr>
        <w:t xml:space="preserve"> einen Liebesbrief bekommen </w:t>
      </w:r>
      <w:r w:rsidR="0000617B">
        <w:rPr>
          <w:i/>
          <w:sz w:val="20"/>
          <w:szCs w:val="20"/>
          <w:lang w:val="de-DE"/>
        </w:rPr>
        <w:t>möchte</w:t>
      </w:r>
      <w:r w:rsidRPr="00AA63C8">
        <w:rPr>
          <w:i/>
          <w:sz w:val="20"/>
          <w:szCs w:val="20"/>
          <w:lang w:val="de-DE"/>
        </w:rPr>
        <w:t>.</w:t>
      </w:r>
    </w:p>
    <w:p w14:paraId="21A28191" w14:textId="77777777" w:rsidR="00037304" w:rsidRPr="00AA63C8" w:rsidRDefault="00037304" w:rsidP="00037304">
      <w:pPr>
        <w:rPr>
          <w:i/>
          <w:sz w:val="20"/>
          <w:szCs w:val="20"/>
          <w:lang w:val="de-DE"/>
        </w:rPr>
      </w:pPr>
    </w:p>
    <w:p w14:paraId="72516BE4" w14:textId="7AFD0B49" w:rsidR="00037304" w:rsidRPr="00C81538" w:rsidRDefault="002C2325" w:rsidP="00C81538">
      <w:pPr>
        <w:pStyle w:val="ListParagraph"/>
        <w:numPr>
          <w:ilvl w:val="0"/>
          <w:numId w:val="4"/>
        </w:numPr>
        <w:rPr>
          <w:sz w:val="20"/>
          <w:szCs w:val="20"/>
          <w:lang w:val="de-DE"/>
        </w:rPr>
      </w:pPr>
      <w:r w:rsidRPr="00C81538">
        <w:rPr>
          <w:sz w:val="20"/>
          <w:szCs w:val="20"/>
          <w:lang w:val="de-DE"/>
        </w:rPr>
        <w:t xml:space="preserve">ABER </w:t>
      </w:r>
      <w:r w:rsidR="00E845F0" w:rsidRPr="00C81538">
        <w:rPr>
          <w:sz w:val="20"/>
          <w:szCs w:val="20"/>
          <w:lang w:val="de-DE"/>
        </w:rPr>
        <w:t>manchmal kommt ein Verb zwischen dem Bezugswort und dem Relativsatz [i.e. don’t leave a single verb „dangling“ after the relative clause]:</w:t>
      </w:r>
    </w:p>
    <w:p w14:paraId="054D2124" w14:textId="2C5C7C7F" w:rsidR="00E845F0" w:rsidRPr="00AA63C8" w:rsidRDefault="00E845F0" w:rsidP="00E845F0">
      <w:pPr>
        <w:ind w:left="720"/>
        <w:rPr>
          <w:i/>
          <w:sz w:val="20"/>
          <w:szCs w:val="20"/>
          <w:lang w:val="de-DE"/>
        </w:rPr>
      </w:pPr>
      <w:r w:rsidRPr="00AA63C8">
        <w:rPr>
          <w:i/>
          <w:sz w:val="20"/>
          <w:szCs w:val="20"/>
          <w:lang w:val="de-DE"/>
        </w:rPr>
        <w:t xml:space="preserve">Frau Kuppisch hat an der Grenze ein westliches Paar </w:t>
      </w:r>
      <w:r w:rsidRPr="00AA63C8">
        <w:rPr>
          <w:b/>
          <w:i/>
          <w:sz w:val="20"/>
          <w:szCs w:val="20"/>
          <w:lang w:val="de-DE"/>
        </w:rPr>
        <w:t>gesehen</w:t>
      </w:r>
      <w:r w:rsidRPr="00AA63C8">
        <w:rPr>
          <w:i/>
          <w:sz w:val="20"/>
          <w:szCs w:val="20"/>
          <w:lang w:val="de-DE"/>
        </w:rPr>
        <w:t xml:space="preserve">, das laut und zuversichtlich war. </w:t>
      </w:r>
    </w:p>
    <w:p w14:paraId="09866F2B" w14:textId="77777777" w:rsidR="00183F59" w:rsidRPr="00AA63C8" w:rsidRDefault="00183F59" w:rsidP="00E845F0">
      <w:pPr>
        <w:ind w:left="720"/>
        <w:rPr>
          <w:i/>
          <w:sz w:val="20"/>
          <w:szCs w:val="20"/>
          <w:lang w:val="de-DE"/>
        </w:rPr>
      </w:pPr>
    </w:p>
    <w:p w14:paraId="05636C56" w14:textId="47A7A454" w:rsidR="00183F59" w:rsidRPr="00C81538" w:rsidRDefault="00183F59" w:rsidP="00C81538">
      <w:pPr>
        <w:pStyle w:val="ListParagraph"/>
        <w:numPr>
          <w:ilvl w:val="0"/>
          <w:numId w:val="4"/>
        </w:numPr>
        <w:rPr>
          <w:sz w:val="20"/>
          <w:szCs w:val="20"/>
          <w:lang w:val="de-DE"/>
        </w:rPr>
      </w:pPr>
      <w:r w:rsidRPr="00C81538">
        <w:rPr>
          <w:sz w:val="20"/>
          <w:szCs w:val="20"/>
          <w:lang w:val="de-DE"/>
        </w:rPr>
        <w:t xml:space="preserve">Ein Relativsatz ist subordinierend, d.h. das konjugierte </w:t>
      </w:r>
      <w:r w:rsidRPr="00C81538">
        <w:rPr>
          <w:b/>
          <w:sz w:val="20"/>
          <w:szCs w:val="20"/>
          <w:lang w:val="de-DE"/>
        </w:rPr>
        <w:t>Verb ist ganz am Ende</w:t>
      </w:r>
      <w:r w:rsidRPr="00C81538">
        <w:rPr>
          <w:sz w:val="20"/>
          <w:szCs w:val="20"/>
          <w:lang w:val="de-DE"/>
        </w:rPr>
        <w:t>:</w:t>
      </w:r>
    </w:p>
    <w:p w14:paraId="79EE57B5" w14:textId="4673DF72" w:rsidR="00183F59" w:rsidRPr="00AA63C8" w:rsidRDefault="00183F59" w:rsidP="00183F59">
      <w:pPr>
        <w:rPr>
          <w:b/>
          <w:i/>
          <w:sz w:val="20"/>
          <w:szCs w:val="20"/>
          <w:lang w:val="de-DE"/>
        </w:rPr>
      </w:pPr>
      <w:r w:rsidRPr="00AA63C8">
        <w:rPr>
          <w:sz w:val="20"/>
          <w:szCs w:val="20"/>
          <w:lang w:val="de-DE"/>
        </w:rPr>
        <w:tab/>
      </w:r>
      <w:r w:rsidRPr="00AA63C8">
        <w:rPr>
          <w:i/>
          <w:sz w:val="20"/>
          <w:szCs w:val="20"/>
          <w:lang w:val="de-DE"/>
        </w:rPr>
        <w:t xml:space="preserve">Miriam ist die Schulschönste, mit der Micha sein </w:t>
      </w:r>
      <w:r w:rsidRPr="00AA63C8">
        <w:rPr>
          <w:b/>
          <w:i/>
          <w:sz w:val="20"/>
          <w:szCs w:val="20"/>
          <w:u w:val="single"/>
          <w:lang w:val="de-DE"/>
        </w:rPr>
        <w:t>will</w:t>
      </w:r>
      <w:r w:rsidRPr="00AA63C8">
        <w:rPr>
          <w:b/>
          <w:i/>
          <w:sz w:val="20"/>
          <w:szCs w:val="20"/>
          <w:lang w:val="de-DE"/>
        </w:rPr>
        <w:t>.</w:t>
      </w:r>
    </w:p>
    <w:p w14:paraId="37B36C00" w14:textId="77777777" w:rsidR="00093437" w:rsidRPr="00AA63C8" w:rsidRDefault="00093437" w:rsidP="00093437">
      <w:pPr>
        <w:rPr>
          <w:rFonts w:ascii="Verdana" w:eastAsia="Times New Roman" w:hAnsi="Verdana" w:cs="Times New Roman"/>
          <w:color w:val="000000"/>
          <w:sz w:val="20"/>
          <w:szCs w:val="20"/>
          <w:shd w:val="clear" w:color="auto" w:fill="FFFFFF"/>
        </w:rPr>
      </w:pPr>
    </w:p>
    <w:p w14:paraId="72D6DB99" w14:textId="794319BB" w:rsidR="00093437" w:rsidRPr="00C81538" w:rsidRDefault="00093437" w:rsidP="00C81538">
      <w:pPr>
        <w:pStyle w:val="ListParagraph"/>
        <w:numPr>
          <w:ilvl w:val="0"/>
          <w:numId w:val="4"/>
        </w:numPr>
        <w:rPr>
          <w:sz w:val="20"/>
          <w:szCs w:val="20"/>
          <w:lang w:val="de-DE"/>
        </w:rPr>
      </w:pPr>
      <w:r w:rsidRPr="00C81538">
        <w:rPr>
          <w:sz w:val="20"/>
          <w:szCs w:val="20"/>
          <w:lang w:val="de-DE"/>
        </w:rPr>
        <w:t>The </w:t>
      </w:r>
      <w:r w:rsidRPr="00C81538">
        <w:rPr>
          <w:b/>
          <w:sz w:val="20"/>
          <w:szCs w:val="20"/>
          <w:lang w:val="de-DE"/>
        </w:rPr>
        <w:t>gender</w:t>
      </w:r>
      <w:r w:rsidRPr="00C81538">
        <w:rPr>
          <w:sz w:val="20"/>
          <w:szCs w:val="20"/>
          <w:lang w:val="de-DE"/>
        </w:rPr>
        <w:t> of the relative pronoun is the same as the gender of its </w:t>
      </w:r>
      <w:hyperlink r:id="rId6" w:anchor="antecedent" w:history="1">
        <w:r w:rsidRPr="00C81538">
          <w:rPr>
            <w:sz w:val="20"/>
            <w:szCs w:val="20"/>
            <w:lang w:val="de-DE"/>
          </w:rPr>
          <w:t>antecedent</w:t>
        </w:r>
      </w:hyperlink>
      <w:r w:rsidRPr="00C81538">
        <w:rPr>
          <w:sz w:val="20"/>
          <w:szCs w:val="20"/>
          <w:lang w:val="de-DE"/>
        </w:rPr>
        <w:t> (the noun to which it is referring). The </w:t>
      </w:r>
      <w:r w:rsidRPr="00C81538">
        <w:rPr>
          <w:b/>
          <w:sz w:val="20"/>
          <w:szCs w:val="20"/>
          <w:lang w:val="de-DE"/>
        </w:rPr>
        <w:t>case</w:t>
      </w:r>
      <w:r w:rsidRPr="00C81538">
        <w:rPr>
          <w:sz w:val="20"/>
          <w:szCs w:val="20"/>
          <w:lang w:val="de-DE"/>
        </w:rPr>
        <w:t> of the relative pronoun (Nominative, Accusative, Dative or Genitive) depends on its grammatical function in the relative clause. It does not depend on the grammatical function of the antecedent in the main clause.</w:t>
      </w:r>
    </w:p>
    <w:p w14:paraId="103F8172" w14:textId="77777777" w:rsidR="0046217A" w:rsidRPr="00C81538" w:rsidRDefault="0046217A" w:rsidP="00093437">
      <w:pPr>
        <w:rPr>
          <w:sz w:val="20"/>
          <w:szCs w:val="20"/>
          <w:lang w:val="de-DE"/>
        </w:rPr>
      </w:pPr>
    </w:p>
    <w:p w14:paraId="43A48F2E" w14:textId="77777777" w:rsidR="0046217A" w:rsidRPr="00C81538" w:rsidRDefault="0046217A" w:rsidP="00C81538">
      <w:pPr>
        <w:pStyle w:val="ListParagraph"/>
        <w:numPr>
          <w:ilvl w:val="0"/>
          <w:numId w:val="4"/>
        </w:numPr>
        <w:rPr>
          <w:sz w:val="20"/>
          <w:szCs w:val="20"/>
          <w:lang w:val="de-DE"/>
        </w:rPr>
      </w:pPr>
      <w:r w:rsidRPr="00C81538">
        <w:rPr>
          <w:sz w:val="20"/>
          <w:szCs w:val="20"/>
          <w:lang w:val="de-DE"/>
        </w:rPr>
        <w:t xml:space="preserve">Präpositionen gehören </w:t>
      </w:r>
      <w:r w:rsidRPr="00C81538">
        <w:rPr>
          <w:sz w:val="20"/>
          <w:szCs w:val="20"/>
          <w:u w:val="single"/>
          <w:lang w:val="de-DE"/>
        </w:rPr>
        <w:t>vor</w:t>
      </w:r>
      <w:r w:rsidRPr="00C81538">
        <w:rPr>
          <w:sz w:val="20"/>
          <w:szCs w:val="20"/>
          <w:lang w:val="de-DE"/>
        </w:rPr>
        <w:t xml:space="preserve"> dem Relativpronomen:</w:t>
      </w:r>
    </w:p>
    <w:p w14:paraId="1B15C063" w14:textId="77777777" w:rsidR="0046217A" w:rsidRPr="00AA63C8" w:rsidRDefault="0046217A" w:rsidP="0046217A">
      <w:pPr>
        <w:rPr>
          <w:i/>
          <w:sz w:val="20"/>
          <w:szCs w:val="20"/>
          <w:lang w:val="de-DE"/>
        </w:rPr>
      </w:pPr>
      <w:r w:rsidRPr="00AA63C8">
        <w:rPr>
          <w:sz w:val="20"/>
          <w:szCs w:val="20"/>
          <w:lang w:val="de-DE"/>
        </w:rPr>
        <w:tab/>
        <w:t xml:space="preserve">Akkusativ:  </w:t>
      </w:r>
      <w:r w:rsidRPr="00AA63C8">
        <w:rPr>
          <w:i/>
          <w:sz w:val="20"/>
          <w:szCs w:val="20"/>
          <w:lang w:val="de-DE"/>
        </w:rPr>
        <w:t xml:space="preserve">Ist Micha wirklich der Junge, </w:t>
      </w:r>
      <w:r w:rsidRPr="00AA63C8">
        <w:rPr>
          <w:b/>
          <w:i/>
          <w:sz w:val="20"/>
          <w:szCs w:val="20"/>
          <w:u w:val="single"/>
          <w:lang w:val="de-DE"/>
        </w:rPr>
        <w:t>für den</w:t>
      </w:r>
      <w:r w:rsidRPr="00AA63C8">
        <w:rPr>
          <w:i/>
          <w:sz w:val="20"/>
          <w:szCs w:val="20"/>
          <w:lang w:val="de-DE"/>
        </w:rPr>
        <w:t xml:space="preserve"> der Liebesbrief ist?</w:t>
      </w:r>
    </w:p>
    <w:p w14:paraId="2C82664A" w14:textId="77777777" w:rsidR="0046217A" w:rsidRPr="00AA63C8" w:rsidRDefault="0046217A" w:rsidP="0046217A">
      <w:pPr>
        <w:rPr>
          <w:i/>
          <w:sz w:val="20"/>
          <w:szCs w:val="20"/>
          <w:lang w:val="de-DE"/>
        </w:rPr>
      </w:pPr>
      <w:r w:rsidRPr="00AA63C8">
        <w:rPr>
          <w:i/>
          <w:sz w:val="20"/>
          <w:szCs w:val="20"/>
          <w:lang w:val="de-DE"/>
        </w:rPr>
        <w:tab/>
      </w:r>
      <w:r w:rsidRPr="00AA63C8">
        <w:rPr>
          <w:sz w:val="20"/>
          <w:szCs w:val="20"/>
          <w:lang w:val="de-DE"/>
        </w:rPr>
        <w:t xml:space="preserve">Dativ:  </w:t>
      </w:r>
      <w:r w:rsidRPr="00AA63C8">
        <w:rPr>
          <w:i/>
          <w:sz w:val="20"/>
          <w:szCs w:val="20"/>
          <w:lang w:val="de-DE"/>
        </w:rPr>
        <w:t xml:space="preserve">Der ABV geht auf eine Party, </w:t>
      </w:r>
      <w:r w:rsidRPr="00AA63C8">
        <w:rPr>
          <w:b/>
          <w:i/>
          <w:sz w:val="20"/>
          <w:szCs w:val="20"/>
          <w:u w:val="single"/>
          <w:lang w:val="de-DE"/>
        </w:rPr>
        <w:t>bei der</w:t>
      </w:r>
      <w:r w:rsidRPr="00AA63C8">
        <w:rPr>
          <w:b/>
          <w:i/>
          <w:sz w:val="20"/>
          <w:szCs w:val="20"/>
          <w:lang w:val="de-DE"/>
        </w:rPr>
        <w:t xml:space="preserve"> </w:t>
      </w:r>
      <w:r w:rsidRPr="00AA63C8">
        <w:rPr>
          <w:i/>
          <w:sz w:val="20"/>
          <w:szCs w:val="20"/>
          <w:lang w:val="de-DE"/>
        </w:rPr>
        <w:t>er die verbotene Musik spielt.</w:t>
      </w:r>
    </w:p>
    <w:p w14:paraId="219AF3EF" w14:textId="6A98BBB5" w:rsidR="0046217A" w:rsidRPr="00AA63C8" w:rsidRDefault="0046217A" w:rsidP="0046217A">
      <w:pPr>
        <w:rPr>
          <w:i/>
          <w:sz w:val="20"/>
          <w:szCs w:val="20"/>
          <w:lang w:val="de-DE"/>
        </w:rPr>
      </w:pPr>
      <w:r w:rsidRPr="00AA63C8">
        <w:rPr>
          <w:i/>
          <w:sz w:val="20"/>
          <w:szCs w:val="20"/>
          <w:lang w:val="de-DE"/>
        </w:rPr>
        <w:tab/>
      </w:r>
      <w:r w:rsidRPr="00AA63C8">
        <w:rPr>
          <w:sz w:val="20"/>
          <w:szCs w:val="20"/>
          <w:lang w:val="de-DE"/>
        </w:rPr>
        <w:t xml:space="preserve">Wechselpräposition:  </w:t>
      </w:r>
      <w:r w:rsidRPr="00AA63C8">
        <w:rPr>
          <w:i/>
          <w:sz w:val="20"/>
          <w:szCs w:val="20"/>
          <w:lang w:val="de-DE"/>
        </w:rPr>
        <w:t xml:space="preserve">Frau Kuppisch </w:t>
      </w:r>
      <w:r w:rsidR="00C81538">
        <w:rPr>
          <w:i/>
          <w:sz w:val="20"/>
          <w:szCs w:val="20"/>
          <w:lang w:val="de-DE"/>
        </w:rPr>
        <w:t>schmuggelt</w:t>
      </w:r>
      <w:r w:rsidRPr="00AA63C8">
        <w:rPr>
          <w:i/>
          <w:sz w:val="20"/>
          <w:szCs w:val="20"/>
          <w:lang w:val="de-DE"/>
        </w:rPr>
        <w:t xml:space="preserve"> eine Kaffeedose, </w:t>
      </w:r>
      <w:r w:rsidRPr="00AA63C8">
        <w:rPr>
          <w:b/>
          <w:i/>
          <w:sz w:val="20"/>
          <w:szCs w:val="20"/>
          <w:u w:val="single"/>
          <w:lang w:val="de-DE"/>
        </w:rPr>
        <w:t>in der</w:t>
      </w:r>
      <w:r w:rsidRPr="00AA63C8">
        <w:rPr>
          <w:i/>
          <w:sz w:val="20"/>
          <w:szCs w:val="20"/>
          <w:lang w:val="de-DE"/>
        </w:rPr>
        <w:t xml:space="preserve"> Heinz’ Aschen sind.</w:t>
      </w:r>
    </w:p>
    <w:p w14:paraId="0F070855" w14:textId="77777777" w:rsidR="0046217A" w:rsidRPr="00AA63C8" w:rsidRDefault="0046217A" w:rsidP="00093437">
      <w:pPr>
        <w:rPr>
          <w:rFonts w:ascii="Verdana" w:eastAsia="Times New Roman" w:hAnsi="Verdana" w:cs="Times New Roman"/>
          <w:color w:val="000000"/>
          <w:sz w:val="20"/>
          <w:szCs w:val="20"/>
          <w:shd w:val="clear" w:color="auto" w:fill="FFFFFF"/>
        </w:rPr>
      </w:pPr>
    </w:p>
    <w:p w14:paraId="166032C6" w14:textId="0C994F0B" w:rsidR="0046217A" w:rsidRPr="00C127F7" w:rsidRDefault="0046217A" w:rsidP="00C127F7">
      <w:pPr>
        <w:pStyle w:val="ListParagraph"/>
        <w:numPr>
          <w:ilvl w:val="0"/>
          <w:numId w:val="5"/>
        </w:numPr>
        <w:rPr>
          <w:rFonts w:ascii="Times" w:eastAsia="Times New Roman" w:hAnsi="Times" w:cs="Times New Roman"/>
          <w:i/>
          <w:sz w:val="20"/>
          <w:szCs w:val="20"/>
        </w:rPr>
      </w:pPr>
      <w:r w:rsidRPr="00C127F7">
        <w:rPr>
          <w:sz w:val="20"/>
          <w:szCs w:val="20"/>
          <w:lang w:val="de-DE"/>
        </w:rPr>
        <w:t>The genitive relative pronouns mean "whose" and work slightly differently: there is always a noun following them. You choose the correct genitive relative pronoun only according to the gender of its </w:t>
      </w:r>
      <w:r w:rsidRPr="00C127F7">
        <w:rPr>
          <w:sz w:val="20"/>
          <w:szCs w:val="20"/>
          <w:lang w:val="de-DE"/>
        </w:rPr>
        <w:fldChar w:fldCharType="begin"/>
      </w:r>
      <w:r w:rsidRPr="00C127F7">
        <w:rPr>
          <w:sz w:val="20"/>
          <w:szCs w:val="20"/>
          <w:lang w:val="de-DE"/>
        </w:rPr>
        <w:instrText xml:space="preserve"> HYPERLINK "http://www.lsa.umich.edu/german/hmr/Grammatik/Relativsaetze/relative.html" \l "antecedent" </w:instrText>
      </w:r>
      <w:r w:rsidRPr="00C127F7">
        <w:rPr>
          <w:sz w:val="20"/>
          <w:szCs w:val="20"/>
          <w:lang w:val="de-DE"/>
        </w:rPr>
      </w:r>
      <w:r w:rsidRPr="00C127F7">
        <w:rPr>
          <w:sz w:val="20"/>
          <w:szCs w:val="20"/>
          <w:lang w:val="de-DE"/>
        </w:rPr>
        <w:fldChar w:fldCharType="separate"/>
      </w:r>
      <w:r w:rsidRPr="00C127F7">
        <w:rPr>
          <w:sz w:val="20"/>
          <w:szCs w:val="20"/>
          <w:lang w:val="de-DE"/>
        </w:rPr>
        <w:t>antecedent</w:t>
      </w:r>
      <w:r w:rsidRPr="00C127F7">
        <w:rPr>
          <w:sz w:val="20"/>
          <w:szCs w:val="20"/>
          <w:lang w:val="de-DE"/>
        </w:rPr>
        <w:fldChar w:fldCharType="end"/>
      </w:r>
      <w:r w:rsidRPr="00C127F7">
        <w:rPr>
          <w:sz w:val="20"/>
          <w:szCs w:val="20"/>
          <w:lang w:val="de-DE"/>
        </w:rPr>
        <w:sym w:font="Wingdings" w:char="F0E0"/>
      </w:r>
      <w:r w:rsidRPr="00C127F7">
        <w:rPr>
          <w:rFonts w:ascii="Times" w:eastAsia="Times New Roman" w:hAnsi="Times" w:cs="Times New Roman"/>
          <w:sz w:val="20"/>
          <w:szCs w:val="20"/>
        </w:rPr>
        <w:t xml:space="preserve">notice in the following example, </w:t>
      </w:r>
      <w:r w:rsidRPr="00C127F7">
        <w:rPr>
          <w:rFonts w:ascii="Times" w:eastAsia="Times New Roman" w:hAnsi="Times" w:cs="Times New Roman"/>
          <w:i/>
          <w:sz w:val="20"/>
          <w:szCs w:val="20"/>
        </w:rPr>
        <w:t xml:space="preserve">dessen refers to the </w:t>
      </w:r>
      <w:r w:rsidRPr="00C127F7">
        <w:rPr>
          <w:rFonts w:ascii="Times" w:eastAsia="Times New Roman" w:hAnsi="Times" w:cs="Times New Roman"/>
          <w:i/>
          <w:sz w:val="20"/>
          <w:szCs w:val="20"/>
          <w:u w:val="single"/>
        </w:rPr>
        <w:t xml:space="preserve">masculine </w:t>
      </w:r>
      <w:r w:rsidRPr="00C127F7">
        <w:rPr>
          <w:rFonts w:ascii="Times" w:eastAsia="Times New Roman" w:hAnsi="Times" w:cs="Times New Roman"/>
          <w:i/>
          <w:sz w:val="20"/>
          <w:szCs w:val="20"/>
        </w:rPr>
        <w:t>Bergmann and not to the feminine Freundin.</w:t>
      </w:r>
    </w:p>
    <w:p w14:paraId="648CBACC" w14:textId="7D160375" w:rsidR="00F41312" w:rsidRPr="00AA63C8" w:rsidRDefault="00C127F7" w:rsidP="00C127F7">
      <w:pPr>
        <w:ind w:firstLine="720"/>
        <w:rPr>
          <w:sz w:val="20"/>
          <w:szCs w:val="20"/>
          <w:lang w:val="de-DE"/>
        </w:rPr>
      </w:pPr>
      <w:r w:rsidRPr="00C127F7">
        <w:rPr>
          <w:i/>
          <w:sz w:val="20"/>
          <w:szCs w:val="20"/>
          <w:lang w:val="de-DE"/>
        </w:rPr>
        <w:sym w:font="Wingdings" w:char="F0E0"/>
      </w:r>
      <w:r w:rsidR="00F41312" w:rsidRPr="00AA63C8">
        <w:rPr>
          <w:i/>
          <w:sz w:val="20"/>
          <w:szCs w:val="20"/>
          <w:lang w:val="de-DE"/>
        </w:rPr>
        <w:t>Wuschel sucht „Exile on Main Street“ bei</w:t>
      </w:r>
      <w:r w:rsidR="00F41312" w:rsidRPr="00AA63C8">
        <w:rPr>
          <w:sz w:val="20"/>
          <w:szCs w:val="20"/>
          <w:lang w:val="de-DE"/>
        </w:rPr>
        <w:t xml:space="preserve"> </w:t>
      </w:r>
      <w:r w:rsidR="00F41312" w:rsidRPr="00AA63C8">
        <w:rPr>
          <w:i/>
          <w:sz w:val="20"/>
          <w:szCs w:val="20"/>
          <w:lang w:val="de-DE"/>
        </w:rPr>
        <w:t xml:space="preserve">Bergmann, </w:t>
      </w:r>
      <w:r w:rsidR="00F41312" w:rsidRPr="00AA63C8">
        <w:rPr>
          <w:b/>
          <w:i/>
          <w:sz w:val="20"/>
          <w:szCs w:val="20"/>
          <w:u w:val="single"/>
          <w:lang w:val="de-DE"/>
        </w:rPr>
        <w:t>dessen</w:t>
      </w:r>
      <w:r w:rsidR="00F41312" w:rsidRPr="00AA63C8">
        <w:rPr>
          <w:b/>
          <w:i/>
          <w:sz w:val="20"/>
          <w:szCs w:val="20"/>
          <w:lang w:val="de-DE"/>
        </w:rPr>
        <w:t xml:space="preserve"> </w:t>
      </w:r>
      <w:r w:rsidR="00F41312" w:rsidRPr="00AA63C8">
        <w:rPr>
          <w:i/>
          <w:sz w:val="20"/>
          <w:szCs w:val="20"/>
          <w:lang w:val="de-DE"/>
        </w:rPr>
        <w:t>Freundin</w:t>
      </w:r>
      <w:r w:rsidR="00F41312" w:rsidRPr="00AA63C8">
        <w:rPr>
          <w:b/>
          <w:i/>
          <w:sz w:val="20"/>
          <w:szCs w:val="20"/>
          <w:lang w:val="de-DE"/>
        </w:rPr>
        <w:t xml:space="preserve"> </w:t>
      </w:r>
      <w:r w:rsidR="00F41312" w:rsidRPr="00AA63C8">
        <w:rPr>
          <w:i/>
          <w:sz w:val="20"/>
          <w:szCs w:val="20"/>
          <w:lang w:val="de-DE"/>
        </w:rPr>
        <w:t>die Platte kleingeschlagen hat.</w:t>
      </w:r>
    </w:p>
    <w:p w14:paraId="664FEE6E" w14:textId="77777777" w:rsidR="00183F59" w:rsidRPr="00AA63C8" w:rsidRDefault="00183F59" w:rsidP="00183F59">
      <w:pPr>
        <w:rPr>
          <w:b/>
          <w:i/>
          <w:sz w:val="20"/>
          <w:szCs w:val="20"/>
          <w:lang w:val="de-DE"/>
        </w:rPr>
      </w:pPr>
    </w:p>
    <w:tbl>
      <w:tblPr>
        <w:tblW w:w="10000" w:type="dxa"/>
        <w:tblCellSpacing w:w="0" w:type="dxa"/>
        <w:shd w:val="clear" w:color="auto" w:fill="00FFFF"/>
        <w:tblCellMar>
          <w:top w:w="60" w:type="dxa"/>
          <w:left w:w="60" w:type="dxa"/>
          <w:bottom w:w="60" w:type="dxa"/>
          <w:right w:w="60" w:type="dxa"/>
        </w:tblCellMar>
        <w:tblLook w:val="04A0" w:firstRow="1" w:lastRow="0" w:firstColumn="1" w:lastColumn="0" w:noHBand="0" w:noVBand="1"/>
      </w:tblPr>
      <w:tblGrid>
        <w:gridCol w:w="2465"/>
        <w:gridCol w:w="2154"/>
        <w:gridCol w:w="1774"/>
        <w:gridCol w:w="2019"/>
        <w:gridCol w:w="1588"/>
      </w:tblGrid>
      <w:tr w:rsidR="00183F59" w:rsidRPr="00AA63C8" w14:paraId="4AEC4B2C" w14:textId="77777777" w:rsidTr="00183F59">
        <w:trPr>
          <w:tblCellSpacing w:w="0" w:type="dxa"/>
        </w:trPr>
        <w:tc>
          <w:tcPr>
            <w:tcW w:w="0" w:type="auto"/>
            <w:shd w:val="clear" w:color="auto" w:fill="99FF66"/>
            <w:vAlign w:val="center"/>
            <w:hideMark/>
          </w:tcPr>
          <w:p w14:paraId="2DBCED3D" w14:textId="77777777" w:rsidR="00183F59" w:rsidRPr="00AA63C8" w:rsidRDefault="00183F59" w:rsidP="00183F59">
            <w:pPr>
              <w:rPr>
                <w:rFonts w:ascii="Times" w:eastAsia="Times New Roman" w:hAnsi="Times" w:cs="Times New Roman"/>
                <w:sz w:val="20"/>
                <w:szCs w:val="20"/>
              </w:rPr>
            </w:pPr>
          </w:p>
        </w:tc>
        <w:tc>
          <w:tcPr>
            <w:tcW w:w="0" w:type="auto"/>
            <w:shd w:val="clear" w:color="auto" w:fill="99FF66"/>
            <w:vAlign w:val="center"/>
            <w:hideMark/>
          </w:tcPr>
          <w:p w14:paraId="43E6137A"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Masculine</w:t>
            </w:r>
          </w:p>
        </w:tc>
        <w:tc>
          <w:tcPr>
            <w:tcW w:w="0" w:type="auto"/>
            <w:shd w:val="clear" w:color="auto" w:fill="99FF66"/>
            <w:vAlign w:val="center"/>
            <w:hideMark/>
          </w:tcPr>
          <w:p w14:paraId="6C8612BF"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Neuter</w:t>
            </w:r>
          </w:p>
        </w:tc>
        <w:tc>
          <w:tcPr>
            <w:tcW w:w="0" w:type="auto"/>
            <w:shd w:val="clear" w:color="auto" w:fill="99FF66"/>
            <w:vAlign w:val="center"/>
            <w:hideMark/>
          </w:tcPr>
          <w:p w14:paraId="6E8A2B03"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Feminine</w:t>
            </w:r>
          </w:p>
        </w:tc>
        <w:tc>
          <w:tcPr>
            <w:tcW w:w="0" w:type="auto"/>
            <w:shd w:val="clear" w:color="auto" w:fill="99FF66"/>
            <w:vAlign w:val="center"/>
            <w:hideMark/>
          </w:tcPr>
          <w:p w14:paraId="45A0F538"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Plural</w:t>
            </w:r>
          </w:p>
        </w:tc>
      </w:tr>
      <w:tr w:rsidR="00183F59" w:rsidRPr="00AA63C8" w14:paraId="249E7C8D" w14:textId="77777777" w:rsidTr="00183F59">
        <w:trPr>
          <w:tblCellSpacing w:w="0" w:type="dxa"/>
        </w:trPr>
        <w:tc>
          <w:tcPr>
            <w:tcW w:w="0" w:type="auto"/>
            <w:shd w:val="clear" w:color="auto" w:fill="99FF66"/>
            <w:vAlign w:val="center"/>
            <w:hideMark/>
          </w:tcPr>
          <w:p w14:paraId="660CAB0D"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Nominative</w:t>
            </w:r>
          </w:p>
        </w:tc>
        <w:tc>
          <w:tcPr>
            <w:tcW w:w="0" w:type="auto"/>
            <w:shd w:val="clear" w:color="auto" w:fill="00FFFF"/>
            <w:vAlign w:val="center"/>
            <w:hideMark/>
          </w:tcPr>
          <w:p w14:paraId="0F0B0A49"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der</w:t>
            </w:r>
          </w:p>
        </w:tc>
        <w:tc>
          <w:tcPr>
            <w:tcW w:w="0" w:type="auto"/>
            <w:shd w:val="clear" w:color="auto" w:fill="00FFFF"/>
            <w:vAlign w:val="center"/>
            <w:hideMark/>
          </w:tcPr>
          <w:p w14:paraId="35964FF6"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das</w:t>
            </w:r>
          </w:p>
        </w:tc>
        <w:tc>
          <w:tcPr>
            <w:tcW w:w="0" w:type="auto"/>
            <w:shd w:val="clear" w:color="auto" w:fill="00FFFF"/>
            <w:vAlign w:val="center"/>
            <w:hideMark/>
          </w:tcPr>
          <w:p w14:paraId="6286681B"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die</w:t>
            </w:r>
          </w:p>
        </w:tc>
        <w:tc>
          <w:tcPr>
            <w:tcW w:w="0" w:type="auto"/>
            <w:shd w:val="clear" w:color="auto" w:fill="00FFFF"/>
            <w:vAlign w:val="center"/>
            <w:hideMark/>
          </w:tcPr>
          <w:p w14:paraId="5954C88C"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die</w:t>
            </w:r>
          </w:p>
        </w:tc>
      </w:tr>
      <w:tr w:rsidR="00183F59" w:rsidRPr="00AA63C8" w14:paraId="7EC075B1" w14:textId="77777777" w:rsidTr="00183F59">
        <w:trPr>
          <w:tblCellSpacing w:w="0" w:type="dxa"/>
        </w:trPr>
        <w:tc>
          <w:tcPr>
            <w:tcW w:w="0" w:type="auto"/>
            <w:shd w:val="clear" w:color="auto" w:fill="99FF66"/>
            <w:vAlign w:val="center"/>
            <w:hideMark/>
          </w:tcPr>
          <w:p w14:paraId="6F1CF0F5"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Accusative</w:t>
            </w:r>
          </w:p>
        </w:tc>
        <w:tc>
          <w:tcPr>
            <w:tcW w:w="0" w:type="auto"/>
            <w:shd w:val="clear" w:color="auto" w:fill="00FFFF"/>
            <w:vAlign w:val="center"/>
            <w:hideMark/>
          </w:tcPr>
          <w:p w14:paraId="4454C8A3"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den</w:t>
            </w:r>
          </w:p>
        </w:tc>
        <w:tc>
          <w:tcPr>
            <w:tcW w:w="0" w:type="auto"/>
            <w:shd w:val="clear" w:color="auto" w:fill="00FFFF"/>
            <w:vAlign w:val="center"/>
            <w:hideMark/>
          </w:tcPr>
          <w:p w14:paraId="03A1E2C5"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das</w:t>
            </w:r>
          </w:p>
        </w:tc>
        <w:tc>
          <w:tcPr>
            <w:tcW w:w="0" w:type="auto"/>
            <w:shd w:val="clear" w:color="auto" w:fill="00FFFF"/>
            <w:vAlign w:val="center"/>
            <w:hideMark/>
          </w:tcPr>
          <w:p w14:paraId="748552F7"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die</w:t>
            </w:r>
          </w:p>
        </w:tc>
        <w:tc>
          <w:tcPr>
            <w:tcW w:w="0" w:type="auto"/>
            <w:shd w:val="clear" w:color="auto" w:fill="00FFFF"/>
            <w:vAlign w:val="center"/>
            <w:hideMark/>
          </w:tcPr>
          <w:p w14:paraId="39CCBECC"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die</w:t>
            </w:r>
          </w:p>
        </w:tc>
      </w:tr>
      <w:tr w:rsidR="00183F59" w:rsidRPr="00AA63C8" w14:paraId="4A8020B3" w14:textId="77777777" w:rsidTr="00183F59">
        <w:trPr>
          <w:tblCellSpacing w:w="0" w:type="dxa"/>
        </w:trPr>
        <w:tc>
          <w:tcPr>
            <w:tcW w:w="0" w:type="auto"/>
            <w:shd w:val="clear" w:color="auto" w:fill="99FF66"/>
            <w:vAlign w:val="center"/>
            <w:hideMark/>
          </w:tcPr>
          <w:p w14:paraId="3870027C"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Dative</w:t>
            </w:r>
          </w:p>
        </w:tc>
        <w:tc>
          <w:tcPr>
            <w:tcW w:w="0" w:type="auto"/>
            <w:shd w:val="clear" w:color="auto" w:fill="00FFFF"/>
            <w:vAlign w:val="center"/>
            <w:hideMark/>
          </w:tcPr>
          <w:p w14:paraId="3C1C1A33"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dem</w:t>
            </w:r>
          </w:p>
        </w:tc>
        <w:tc>
          <w:tcPr>
            <w:tcW w:w="0" w:type="auto"/>
            <w:shd w:val="clear" w:color="auto" w:fill="00FFFF"/>
            <w:vAlign w:val="center"/>
            <w:hideMark/>
          </w:tcPr>
          <w:p w14:paraId="1D25F77D"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dem</w:t>
            </w:r>
          </w:p>
        </w:tc>
        <w:tc>
          <w:tcPr>
            <w:tcW w:w="0" w:type="auto"/>
            <w:shd w:val="clear" w:color="auto" w:fill="00FFFF"/>
            <w:vAlign w:val="center"/>
            <w:hideMark/>
          </w:tcPr>
          <w:p w14:paraId="54942B89"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der</w:t>
            </w:r>
          </w:p>
        </w:tc>
        <w:tc>
          <w:tcPr>
            <w:tcW w:w="0" w:type="auto"/>
            <w:shd w:val="clear" w:color="auto" w:fill="00FFFF"/>
            <w:vAlign w:val="center"/>
            <w:hideMark/>
          </w:tcPr>
          <w:p w14:paraId="5356F84A"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b/>
                <w:bCs/>
                <w:sz w:val="20"/>
                <w:szCs w:val="20"/>
              </w:rPr>
              <w:t>denen</w:t>
            </w:r>
          </w:p>
        </w:tc>
      </w:tr>
      <w:tr w:rsidR="00183F59" w:rsidRPr="00AA63C8" w14:paraId="477763BD" w14:textId="77777777" w:rsidTr="00183F59">
        <w:trPr>
          <w:tblCellSpacing w:w="0" w:type="dxa"/>
        </w:trPr>
        <w:tc>
          <w:tcPr>
            <w:tcW w:w="0" w:type="auto"/>
            <w:shd w:val="clear" w:color="auto" w:fill="99FF66"/>
            <w:vAlign w:val="center"/>
            <w:hideMark/>
          </w:tcPr>
          <w:p w14:paraId="3073497F"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sz w:val="20"/>
                <w:szCs w:val="20"/>
              </w:rPr>
              <w:t>Genitive</w:t>
            </w:r>
          </w:p>
        </w:tc>
        <w:tc>
          <w:tcPr>
            <w:tcW w:w="0" w:type="auto"/>
            <w:shd w:val="clear" w:color="auto" w:fill="00FFFF"/>
            <w:vAlign w:val="center"/>
            <w:hideMark/>
          </w:tcPr>
          <w:p w14:paraId="51D75824"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b/>
                <w:bCs/>
                <w:sz w:val="20"/>
                <w:szCs w:val="20"/>
              </w:rPr>
              <w:t>dessen</w:t>
            </w:r>
          </w:p>
        </w:tc>
        <w:tc>
          <w:tcPr>
            <w:tcW w:w="0" w:type="auto"/>
            <w:shd w:val="clear" w:color="auto" w:fill="00FFFF"/>
            <w:vAlign w:val="center"/>
            <w:hideMark/>
          </w:tcPr>
          <w:p w14:paraId="4D5D3019"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b/>
                <w:bCs/>
                <w:sz w:val="20"/>
                <w:szCs w:val="20"/>
              </w:rPr>
              <w:t>dessen</w:t>
            </w:r>
          </w:p>
        </w:tc>
        <w:tc>
          <w:tcPr>
            <w:tcW w:w="0" w:type="auto"/>
            <w:shd w:val="clear" w:color="auto" w:fill="00FFFF"/>
            <w:vAlign w:val="center"/>
            <w:hideMark/>
          </w:tcPr>
          <w:p w14:paraId="0B0B12D1"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b/>
                <w:bCs/>
                <w:sz w:val="20"/>
                <w:szCs w:val="20"/>
              </w:rPr>
              <w:t>deren</w:t>
            </w:r>
          </w:p>
        </w:tc>
        <w:tc>
          <w:tcPr>
            <w:tcW w:w="0" w:type="auto"/>
            <w:shd w:val="clear" w:color="auto" w:fill="00FFFF"/>
            <w:vAlign w:val="center"/>
            <w:hideMark/>
          </w:tcPr>
          <w:p w14:paraId="42DD8656" w14:textId="77777777" w:rsidR="00183F59" w:rsidRPr="00AA63C8" w:rsidRDefault="00183F59" w:rsidP="00183F59">
            <w:pPr>
              <w:rPr>
                <w:rFonts w:ascii="Times" w:eastAsia="Times New Roman" w:hAnsi="Times" w:cs="Times New Roman"/>
                <w:sz w:val="20"/>
                <w:szCs w:val="20"/>
              </w:rPr>
            </w:pPr>
            <w:r w:rsidRPr="00AA63C8">
              <w:rPr>
                <w:rFonts w:ascii="Verdana" w:eastAsia="Times New Roman" w:hAnsi="Verdana" w:cs="Times New Roman"/>
                <w:b/>
                <w:bCs/>
                <w:sz w:val="20"/>
                <w:szCs w:val="20"/>
              </w:rPr>
              <w:t>deren</w:t>
            </w:r>
          </w:p>
        </w:tc>
      </w:tr>
    </w:tbl>
    <w:p w14:paraId="237ADFE2" w14:textId="77777777" w:rsidR="00183F59" w:rsidRPr="00AA63C8" w:rsidRDefault="00183F59" w:rsidP="00183F59">
      <w:pPr>
        <w:rPr>
          <w:b/>
          <w:sz w:val="20"/>
          <w:szCs w:val="20"/>
          <w:lang w:val="de-DE"/>
        </w:rPr>
      </w:pPr>
    </w:p>
    <w:p w14:paraId="254C2DE6" w14:textId="77777777" w:rsidR="00FF2C5E" w:rsidRDefault="00F01880" w:rsidP="00FF2C5E">
      <w:pPr>
        <w:pStyle w:val="ListParagraph"/>
        <w:numPr>
          <w:ilvl w:val="0"/>
          <w:numId w:val="5"/>
        </w:numPr>
        <w:shd w:val="clear" w:color="auto" w:fill="FFFFFF"/>
        <w:spacing w:before="100" w:beforeAutospacing="1" w:after="100" w:afterAutospacing="1"/>
        <w:rPr>
          <w:sz w:val="20"/>
          <w:szCs w:val="20"/>
          <w:lang w:val="de-DE"/>
        </w:rPr>
      </w:pPr>
      <w:r w:rsidRPr="00340656">
        <w:rPr>
          <w:sz w:val="20"/>
          <w:szCs w:val="20"/>
          <w:lang w:val="de-DE"/>
        </w:rPr>
        <w:t xml:space="preserve">The relative pronoun </w:t>
      </w:r>
      <w:r w:rsidRPr="00340656">
        <w:rPr>
          <w:b/>
          <w:i/>
          <w:sz w:val="20"/>
          <w:szCs w:val="20"/>
          <w:u w:val="single"/>
          <w:lang w:val="de-DE"/>
        </w:rPr>
        <w:t>was</w:t>
      </w:r>
      <w:r w:rsidRPr="00340656">
        <w:rPr>
          <w:sz w:val="20"/>
          <w:szCs w:val="20"/>
          <w:lang w:val="de-DE"/>
        </w:rPr>
        <w:t> is used to refer to indefinite nouns or pronouns such as alles, etwas, nichts</w:t>
      </w:r>
      <w:r w:rsidRPr="00340656">
        <w:rPr>
          <w:lang w:val="de-DE"/>
        </w:rPr>
        <w:sym w:font="Wingdings" w:char="F0E0"/>
      </w:r>
      <w:r w:rsidRPr="00340656">
        <w:rPr>
          <w:sz w:val="20"/>
          <w:szCs w:val="20"/>
          <w:lang w:val="de-DE"/>
        </w:rPr>
        <w:t xml:space="preserve"> it will make sense to use </w:t>
      </w:r>
      <w:r w:rsidRPr="00340656">
        <w:rPr>
          <w:i/>
          <w:sz w:val="20"/>
          <w:szCs w:val="20"/>
          <w:lang w:val="de-DE"/>
        </w:rPr>
        <w:t>was</w:t>
      </w:r>
      <w:r w:rsidRPr="00340656">
        <w:rPr>
          <w:sz w:val="20"/>
          <w:szCs w:val="20"/>
          <w:lang w:val="de-DE"/>
        </w:rPr>
        <w:t xml:space="preserve"> in these cases, since you will not be able to decide on a gender for words such as alles, which will remind you that you cannot use der/das/die. </w:t>
      </w:r>
      <w:r w:rsidRPr="00340656">
        <w:rPr>
          <w:i/>
          <w:sz w:val="20"/>
          <w:szCs w:val="20"/>
          <w:lang w:val="de-DE"/>
        </w:rPr>
        <w:t>Was</w:t>
      </w:r>
      <w:r w:rsidRPr="00340656">
        <w:rPr>
          <w:sz w:val="20"/>
          <w:szCs w:val="20"/>
          <w:lang w:val="de-DE"/>
        </w:rPr>
        <w:t xml:space="preserve"> is also the relative pronoun for superlatives such as das Beste, das Schönste, das Neueste, etc.  </w:t>
      </w:r>
    </w:p>
    <w:p w14:paraId="76F16F4A" w14:textId="33A98B01" w:rsidR="00F01880" w:rsidRPr="00FF2C5E" w:rsidRDefault="00FF2C5E" w:rsidP="00FF2C5E">
      <w:pPr>
        <w:pStyle w:val="ListParagraph"/>
        <w:shd w:val="clear" w:color="auto" w:fill="FFFFFF"/>
        <w:spacing w:before="100" w:beforeAutospacing="1" w:after="100" w:afterAutospacing="1"/>
        <w:rPr>
          <w:sz w:val="20"/>
          <w:szCs w:val="20"/>
          <w:lang w:val="de-DE"/>
        </w:rPr>
      </w:pPr>
      <w:r w:rsidRPr="00FF2C5E">
        <w:rPr>
          <w:sz w:val="20"/>
          <w:szCs w:val="20"/>
          <w:lang w:val="de-DE"/>
        </w:rPr>
        <w:sym w:font="Wingdings" w:char="F0E0"/>
      </w:r>
      <w:r w:rsidR="00F01880" w:rsidRPr="00841A97">
        <w:rPr>
          <w:i/>
          <w:sz w:val="20"/>
          <w:szCs w:val="20"/>
          <w:lang w:val="de-DE"/>
        </w:rPr>
        <w:t xml:space="preserve">Das Beste, was Micha für Miriam machte, war Tagebücher </w:t>
      </w:r>
      <w:r w:rsidR="00505780" w:rsidRPr="00841A97">
        <w:rPr>
          <w:i/>
          <w:sz w:val="20"/>
          <w:szCs w:val="20"/>
          <w:lang w:val="de-DE"/>
        </w:rPr>
        <w:t xml:space="preserve">zu </w:t>
      </w:r>
      <w:r w:rsidR="00F01880" w:rsidRPr="00841A97">
        <w:rPr>
          <w:i/>
          <w:sz w:val="20"/>
          <w:szCs w:val="20"/>
          <w:lang w:val="de-DE"/>
        </w:rPr>
        <w:t>schreiben.</w:t>
      </w:r>
    </w:p>
    <w:p w14:paraId="3E5200B3" w14:textId="700BB68D" w:rsidR="00AA63C8" w:rsidRPr="00340656" w:rsidRDefault="00AA63C8" w:rsidP="00112823">
      <w:pPr>
        <w:ind w:left="720"/>
        <w:rPr>
          <w:sz w:val="20"/>
          <w:szCs w:val="20"/>
          <w:lang w:val="de-DE"/>
        </w:rPr>
      </w:pPr>
      <w:r w:rsidRPr="00112823">
        <w:rPr>
          <w:b/>
          <w:i/>
          <w:sz w:val="20"/>
          <w:szCs w:val="20"/>
          <w:u w:val="single"/>
          <w:lang w:val="de-DE"/>
        </w:rPr>
        <w:t>Was </w:t>
      </w:r>
      <w:r w:rsidRPr="00340656">
        <w:rPr>
          <w:sz w:val="20"/>
          <w:szCs w:val="20"/>
          <w:lang w:val="de-DE"/>
        </w:rPr>
        <w:t>may refer back to a whole clause—again, there’s no clear antecedent.</w:t>
      </w:r>
    </w:p>
    <w:p w14:paraId="10AEE23F" w14:textId="77777777" w:rsidR="00841A97" w:rsidRDefault="00112823" w:rsidP="00112823">
      <w:pPr>
        <w:ind w:left="720"/>
        <w:rPr>
          <w:sz w:val="20"/>
          <w:szCs w:val="20"/>
          <w:lang w:val="de-DE"/>
        </w:rPr>
      </w:pPr>
      <w:r w:rsidRPr="00112823">
        <w:rPr>
          <w:sz w:val="20"/>
          <w:szCs w:val="20"/>
          <w:lang w:val="de-DE"/>
        </w:rPr>
        <w:sym w:font="Wingdings" w:char="F0E0"/>
      </w:r>
      <w:r w:rsidR="00AA63C8" w:rsidRPr="00841A97">
        <w:rPr>
          <w:i/>
          <w:sz w:val="20"/>
          <w:szCs w:val="20"/>
          <w:lang w:val="de-DE"/>
        </w:rPr>
        <w:t>Miriam tanzte mit einem Westberliner auf dem Schultanz, was für Erdmute Löffeling unakzeptabel war.</w:t>
      </w:r>
      <w:r w:rsidR="00AA63C8" w:rsidRPr="00340656">
        <w:rPr>
          <w:sz w:val="20"/>
          <w:szCs w:val="20"/>
          <w:lang w:val="de-DE"/>
        </w:rPr>
        <w:t xml:space="preserve">  </w:t>
      </w:r>
    </w:p>
    <w:p w14:paraId="7A6782A4" w14:textId="202A3CA4" w:rsidR="00AA63C8" w:rsidRPr="00340656" w:rsidRDefault="00AA63C8" w:rsidP="00112823">
      <w:pPr>
        <w:ind w:left="720"/>
        <w:rPr>
          <w:sz w:val="20"/>
          <w:szCs w:val="20"/>
          <w:lang w:val="de-DE"/>
        </w:rPr>
      </w:pPr>
      <w:r w:rsidRPr="00340656">
        <w:rPr>
          <w:sz w:val="20"/>
          <w:szCs w:val="20"/>
          <w:lang w:val="de-DE"/>
        </w:rPr>
        <w:t xml:space="preserve">(The fact that she danced with the Westerner, i.e. that whole clause, is the antecedent.)  </w:t>
      </w:r>
    </w:p>
    <w:p w14:paraId="4516CE28" w14:textId="0CF0E5DC" w:rsidR="00443047" w:rsidRDefault="00443047" w:rsidP="00841A97">
      <w:pPr>
        <w:pStyle w:val="ListParagraph"/>
        <w:numPr>
          <w:ilvl w:val="0"/>
          <w:numId w:val="5"/>
        </w:numPr>
        <w:shd w:val="clear" w:color="auto" w:fill="FFFFFF"/>
        <w:spacing w:before="100" w:beforeAutospacing="1" w:after="100" w:afterAutospacing="1"/>
        <w:rPr>
          <w:sz w:val="20"/>
          <w:szCs w:val="20"/>
          <w:lang w:val="de-DE"/>
        </w:rPr>
      </w:pPr>
      <w:r w:rsidRPr="00841A97">
        <w:rPr>
          <w:sz w:val="20"/>
          <w:szCs w:val="20"/>
          <w:lang w:val="de-DE"/>
        </w:rPr>
        <w:t xml:space="preserve">The relative pronoun </w:t>
      </w:r>
      <w:r w:rsidRPr="00841A97">
        <w:rPr>
          <w:b/>
          <w:i/>
          <w:sz w:val="20"/>
          <w:szCs w:val="20"/>
          <w:u w:val="single"/>
          <w:lang w:val="de-DE"/>
        </w:rPr>
        <w:t>wer</w:t>
      </w:r>
      <w:r w:rsidRPr="00841A97">
        <w:rPr>
          <w:sz w:val="20"/>
          <w:szCs w:val="20"/>
          <w:lang w:val="de-DE"/>
        </w:rPr>
        <w:t> never has an antecedent. It is used to mean whoever, the person who, or he/she who.</w:t>
      </w:r>
      <w:r w:rsidR="00841A97">
        <w:rPr>
          <w:sz w:val="20"/>
          <w:szCs w:val="20"/>
          <w:lang w:val="de-DE"/>
        </w:rPr>
        <w:t xml:space="preserve">  </w:t>
      </w:r>
      <w:r w:rsidR="00841A97" w:rsidRPr="00841A97">
        <w:rPr>
          <w:sz w:val="20"/>
          <w:szCs w:val="20"/>
          <w:lang w:val="de-DE"/>
        </w:rPr>
        <w:t>(Often used with sayings.)</w:t>
      </w:r>
      <w:r w:rsidR="00841A97" w:rsidRPr="00841A97">
        <w:rPr>
          <w:sz w:val="20"/>
          <w:szCs w:val="20"/>
          <w:lang w:val="de-DE"/>
        </w:rPr>
        <w:sym w:font="Wingdings" w:char="F0E0"/>
      </w:r>
      <w:r w:rsidR="00D3378E" w:rsidRPr="00841A97">
        <w:rPr>
          <w:i/>
          <w:sz w:val="20"/>
          <w:szCs w:val="20"/>
          <w:lang w:val="de-DE"/>
        </w:rPr>
        <w:t xml:space="preserve">Wer </w:t>
      </w:r>
      <w:r w:rsidR="008F4F15" w:rsidRPr="00841A97">
        <w:rPr>
          <w:i/>
          <w:sz w:val="20"/>
          <w:szCs w:val="20"/>
          <w:lang w:val="de-DE"/>
        </w:rPr>
        <w:t>zuletzt lacht, lacht am besten.</w:t>
      </w:r>
      <w:r w:rsidR="008F4F15" w:rsidRPr="00841A97">
        <w:rPr>
          <w:sz w:val="20"/>
          <w:szCs w:val="20"/>
          <w:lang w:val="de-DE"/>
        </w:rPr>
        <w:t xml:space="preserve"> </w:t>
      </w:r>
    </w:p>
    <w:p w14:paraId="652C7963" w14:textId="77777777" w:rsidR="00847B94" w:rsidRPr="00841A97" w:rsidRDefault="00847B94" w:rsidP="00847B94">
      <w:pPr>
        <w:pStyle w:val="ListParagraph"/>
        <w:shd w:val="clear" w:color="auto" w:fill="FFFFFF"/>
        <w:spacing w:before="100" w:beforeAutospacing="1" w:after="100" w:afterAutospacing="1"/>
        <w:rPr>
          <w:sz w:val="20"/>
          <w:szCs w:val="20"/>
          <w:lang w:val="de-DE"/>
        </w:rPr>
      </w:pPr>
    </w:p>
    <w:p w14:paraId="27031071" w14:textId="77777777" w:rsidR="00847B94" w:rsidRDefault="00644385" w:rsidP="00847B94">
      <w:pPr>
        <w:pStyle w:val="ListParagraph"/>
        <w:numPr>
          <w:ilvl w:val="0"/>
          <w:numId w:val="5"/>
        </w:numPr>
        <w:shd w:val="clear" w:color="auto" w:fill="FFFFFF"/>
        <w:spacing w:before="100" w:beforeAutospacing="1" w:after="100" w:afterAutospacing="1"/>
        <w:rPr>
          <w:sz w:val="20"/>
          <w:szCs w:val="20"/>
          <w:lang w:val="de-DE"/>
        </w:rPr>
      </w:pPr>
      <w:r w:rsidRPr="00847B94">
        <w:rPr>
          <w:b/>
          <w:i/>
          <w:sz w:val="20"/>
          <w:szCs w:val="20"/>
          <w:u w:val="single"/>
          <w:lang w:val="de-DE"/>
        </w:rPr>
        <w:t>Wo</w:t>
      </w:r>
      <w:r w:rsidRPr="00847B94">
        <w:rPr>
          <w:sz w:val="20"/>
          <w:szCs w:val="20"/>
          <w:lang w:val="de-DE"/>
        </w:rPr>
        <w:t xml:space="preserve"> is used when the antecedent is a place.  If the place has a proper name and no article (Berlin, Disneyland, Deutschland, Kroger), you </w:t>
      </w:r>
      <w:r w:rsidRPr="00847B94">
        <w:rPr>
          <w:b/>
          <w:sz w:val="20"/>
          <w:szCs w:val="20"/>
          <w:lang w:val="de-DE"/>
        </w:rPr>
        <w:t>must</w:t>
      </w:r>
      <w:r w:rsidRPr="00847B94">
        <w:rPr>
          <w:sz w:val="20"/>
          <w:szCs w:val="20"/>
          <w:lang w:val="de-DE"/>
        </w:rPr>
        <w:t> use </w:t>
      </w:r>
      <w:r w:rsidRPr="00847B94">
        <w:rPr>
          <w:i/>
          <w:sz w:val="20"/>
          <w:szCs w:val="20"/>
          <w:lang w:val="de-DE"/>
        </w:rPr>
        <w:t>wo</w:t>
      </w:r>
      <w:r w:rsidRPr="00847B94">
        <w:rPr>
          <w:sz w:val="20"/>
          <w:szCs w:val="20"/>
          <w:lang w:val="de-DE"/>
        </w:rPr>
        <w:t xml:space="preserve"> to refer to it in a relative clause.  </w:t>
      </w:r>
      <w:r w:rsidR="00847B94" w:rsidRPr="00847B94">
        <w:rPr>
          <w:sz w:val="20"/>
          <w:szCs w:val="20"/>
          <w:lang w:val="de-DE"/>
        </w:rPr>
        <w:sym w:font="Wingdings" w:char="F0E0"/>
      </w:r>
      <w:r w:rsidR="00540687" w:rsidRPr="00847B94">
        <w:rPr>
          <w:i/>
          <w:sz w:val="20"/>
          <w:szCs w:val="20"/>
          <w:lang w:val="de-DE"/>
        </w:rPr>
        <w:t xml:space="preserve">Berlin, wo </w:t>
      </w:r>
      <w:r w:rsidR="00D91038" w:rsidRPr="00847B94">
        <w:rPr>
          <w:i/>
          <w:sz w:val="20"/>
          <w:szCs w:val="20"/>
          <w:lang w:val="de-DE"/>
        </w:rPr>
        <w:t>das Reichtstagsgebäude steht, ist die Hauptstadt</w:t>
      </w:r>
      <w:r w:rsidR="00D91038" w:rsidRPr="00847B94">
        <w:rPr>
          <w:sz w:val="20"/>
          <w:szCs w:val="20"/>
          <w:lang w:val="de-DE"/>
        </w:rPr>
        <w:t>.</w:t>
      </w:r>
      <w:r w:rsidR="00847B94">
        <w:rPr>
          <w:sz w:val="20"/>
          <w:szCs w:val="20"/>
          <w:lang w:val="de-DE"/>
        </w:rPr>
        <w:t xml:space="preserve">  </w:t>
      </w:r>
    </w:p>
    <w:p w14:paraId="26B65578" w14:textId="5FC23773" w:rsidR="00D91038" w:rsidRPr="00847B94" w:rsidRDefault="00847B94" w:rsidP="00847B94">
      <w:pPr>
        <w:shd w:val="clear" w:color="auto" w:fill="FFFFFF"/>
        <w:spacing w:before="100" w:beforeAutospacing="1" w:after="100" w:afterAutospacing="1"/>
        <w:ind w:left="720"/>
        <w:rPr>
          <w:sz w:val="20"/>
          <w:szCs w:val="20"/>
          <w:lang w:val="de-DE"/>
        </w:rPr>
      </w:pPr>
      <w:r w:rsidRPr="00847B94">
        <w:rPr>
          <w:sz w:val="20"/>
          <w:szCs w:val="20"/>
          <w:lang w:val="de-DE"/>
        </w:rPr>
        <w:t>If the place has an article (die Schweiz, die Türkei, das Klassenzimmer, etc.), you can use </w:t>
      </w:r>
      <w:r w:rsidRPr="00847B94">
        <w:rPr>
          <w:i/>
          <w:sz w:val="20"/>
          <w:szCs w:val="20"/>
          <w:lang w:val="de-DE"/>
        </w:rPr>
        <w:t>wo</w:t>
      </w:r>
      <w:r w:rsidRPr="00847B94">
        <w:rPr>
          <w:sz w:val="20"/>
          <w:szCs w:val="20"/>
          <w:lang w:val="de-DE"/>
        </w:rPr>
        <w:t> </w:t>
      </w:r>
      <w:r>
        <w:rPr>
          <w:sz w:val="20"/>
          <w:szCs w:val="20"/>
          <w:lang w:val="de-DE"/>
        </w:rPr>
        <w:t>OR</w:t>
      </w:r>
      <w:bookmarkStart w:id="0" w:name="_GoBack"/>
      <w:bookmarkEnd w:id="0"/>
      <w:r w:rsidRPr="00847B94">
        <w:rPr>
          <w:sz w:val="20"/>
          <w:szCs w:val="20"/>
          <w:lang w:val="de-DE"/>
        </w:rPr>
        <w:t xml:space="preserve"> you can use </w:t>
      </w:r>
      <w:r w:rsidRPr="00847B94">
        <w:rPr>
          <w:b/>
          <w:sz w:val="20"/>
          <w:szCs w:val="20"/>
          <w:lang w:val="de-DE"/>
        </w:rPr>
        <w:t>in + the appropriate form of der/das/die</w:t>
      </w:r>
      <w:r w:rsidRPr="00847B94">
        <w:rPr>
          <w:sz w:val="20"/>
          <w:szCs w:val="20"/>
          <w:lang w:val="de-DE"/>
        </w:rPr>
        <w:t>.</w:t>
      </w:r>
      <w:r w:rsidRPr="00847B94">
        <w:rPr>
          <w:lang w:val="de-DE"/>
        </w:rPr>
        <w:sym w:font="Wingdings" w:char="F0E0"/>
      </w:r>
      <w:r w:rsidR="00D91038" w:rsidRPr="00847B94">
        <w:rPr>
          <w:i/>
          <w:sz w:val="20"/>
          <w:szCs w:val="20"/>
          <w:lang w:val="de-DE"/>
        </w:rPr>
        <w:t>Das Klassenzimmer, wo (oder in dem) wir Deutsch lernen, ist ziemlich groß.</w:t>
      </w:r>
    </w:p>
    <w:sectPr w:rsidR="00D91038" w:rsidRPr="00847B94" w:rsidSect="00847B94">
      <w:pgSz w:w="12240" w:h="15840"/>
      <w:pgMar w:top="792"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3023"/>
    <w:multiLevelType w:val="multilevel"/>
    <w:tmpl w:val="ED3E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26518"/>
    <w:multiLevelType w:val="hybridMultilevel"/>
    <w:tmpl w:val="7324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66E4A"/>
    <w:multiLevelType w:val="multilevel"/>
    <w:tmpl w:val="D586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F46E4"/>
    <w:multiLevelType w:val="hybridMultilevel"/>
    <w:tmpl w:val="529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D0010"/>
    <w:multiLevelType w:val="multilevel"/>
    <w:tmpl w:val="07C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07"/>
    <w:rsid w:val="0000617B"/>
    <w:rsid w:val="00037304"/>
    <w:rsid w:val="00093437"/>
    <w:rsid w:val="00112823"/>
    <w:rsid w:val="00183F59"/>
    <w:rsid w:val="00213DCF"/>
    <w:rsid w:val="002C2325"/>
    <w:rsid w:val="00340656"/>
    <w:rsid w:val="00355B93"/>
    <w:rsid w:val="00436074"/>
    <w:rsid w:val="00443047"/>
    <w:rsid w:val="0046217A"/>
    <w:rsid w:val="00505780"/>
    <w:rsid w:val="00540687"/>
    <w:rsid w:val="005A4D33"/>
    <w:rsid w:val="00644385"/>
    <w:rsid w:val="00841A97"/>
    <w:rsid w:val="00847B94"/>
    <w:rsid w:val="008F4F15"/>
    <w:rsid w:val="00AA63C8"/>
    <w:rsid w:val="00C127F7"/>
    <w:rsid w:val="00C13D81"/>
    <w:rsid w:val="00C81538"/>
    <w:rsid w:val="00CC0F07"/>
    <w:rsid w:val="00D3378E"/>
    <w:rsid w:val="00D91038"/>
    <w:rsid w:val="00E16507"/>
    <w:rsid w:val="00E845F0"/>
    <w:rsid w:val="00F01880"/>
    <w:rsid w:val="00F41312"/>
    <w:rsid w:val="00FF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01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3437"/>
  </w:style>
  <w:style w:type="character" w:styleId="Hyperlink">
    <w:name w:val="Hyperlink"/>
    <w:basedOn w:val="DefaultParagraphFont"/>
    <w:uiPriority w:val="99"/>
    <w:semiHidden/>
    <w:unhideWhenUsed/>
    <w:rsid w:val="00093437"/>
    <w:rPr>
      <w:color w:val="0000FF"/>
      <w:u w:val="single"/>
    </w:rPr>
  </w:style>
  <w:style w:type="paragraph" w:styleId="ListParagraph">
    <w:name w:val="List Paragraph"/>
    <w:basedOn w:val="Normal"/>
    <w:uiPriority w:val="34"/>
    <w:qFormat/>
    <w:rsid w:val="00C815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3437"/>
  </w:style>
  <w:style w:type="character" w:styleId="Hyperlink">
    <w:name w:val="Hyperlink"/>
    <w:basedOn w:val="DefaultParagraphFont"/>
    <w:uiPriority w:val="99"/>
    <w:semiHidden/>
    <w:unhideWhenUsed/>
    <w:rsid w:val="00093437"/>
    <w:rPr>
      <w:color w:val="0000FF"/>
      <w:u w:val="single"/>
    </w:rPr>
  </w:style>
  <w:style w:type="paragraph" w:styleId="ListParagraph">
    <w:name w:val="List Paragraph"/>
    <w:basedOn w:val="Normal"/>
    <w:uiPriority w:val="34"/>
    <w:qFormat/>
    <w:rsid w:val="00C8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602">
      <w:bodyDiv w:val="1"/>
      <w:marLeft w:val="0"/>
      <w:marRight w:val="0"/>
      <w:marTop w:val="0"/>
      <w:marBottom w:val="0"/>
      <w:divBdr>
        <w:top w:val="none" w:sz="0" w:space="0" w:color="auto"/>
        <w:left w:val="none" w:sz="0" w:space="0" w:color="auto"/>
        <w:bottom w:val="none" w:sz="0" w:space="0" w:color="auto"/>
        <w:right w:val="none" w:sz="0" w:space="0" w:color="auto"/>
      </w:divBdr>
    </w:div>
    <w:div w:id="602151702">
      <w:bodyDiv w:val="1"/>
      <w:marLeft w:val="0"/>
      <w:marRight w:val="0"/>
      <w:marTop w:val="0"/>
      <w:marBottom w:val="0"/>
      <w:divBdr>
        <w:top w:val="none" w:sz="0" w:space="0" w:color="auto"/>
        <w:left w:val="none" w:sz="0" w:space="0" w:color="auto"/>
        <w:bottom w:val="none" w:sz="0" w:space="0" w:color="auto"/>
        <w:right w:val="none" w:sz="0" w:space="0" w:color="auto"/>
      </w:divBdr>
    </w:div>
    <w:div w:id="1020811449">
      <w:bodyDiv w:val="1"/>
      <w:marLeft w:val="0"/>
      <w:marRight w:val="0"/>
      <w:marTop w:val="0"/>
      <w:marBottom w:val="0"/>
      <w:divBdr>
        <w:top w:val="none" w:sz="0" w:space="0" w:color="auto"/>
        <w:left w:val="none" w:sz="0" w:space="0" w:color="auto"/>
        <w:bottom w:val="none" w:sz="0" w:space="0" w:color="auto"/>
        <w:right w:val="none" w:sz="0" w:space="0" w:color="auto"/>
      </w:divBdr>
    </w:div>
    <w:div w:id="1422414449">
      <w:bodyDiv w:val="1"/>
      <w:marLeft w:val="0"/>
      <w:marRight w:val="0"/>
      <w:marTop w:val="0"/>
      <w:marBottom w:val="0"/>
      <w:divBdr>
        <w:top w:val="none" w:sz="0" w:space="0" w:color="auto"/>
        <w:left w:val="none" w:sz="0" w:space="0" w:color="auto"/>
        <w:bottom w:val="none" w:sz="0" w:space="0" w:color="auto"/>
        <w:right w:val="none" w:sz="0" w:space="0" w:color="auto"/>
      </w:divBdr>
    </w:div>
    <w:div w:id="1491406044">
      <w:bodyDiv w:val="1"/>
      <w:marLeft w:val="0"/>
      <w:marRight w:val="0"/>
      <w:marTop w:val="0"/>
      <w:marBottom w:val="0"/>
      <w:divBdr>
        <w:top w:val="none" w:sz="0" w:space="0" w:color="auto"/>
        <w:left w:val="none" w:sz="0" w:space="0" w:color="auto"/>
        <w:bottom w:val="none" w:sz="0" w:space="0" w:color="auto"/>
        <w:right w:val="none" w:sz="0" w:space="0" w:color="auto"/>
      </w:divBdr>
    </w:div>
    <w:div w:id="1683896560">
      <w:bodyDiv w:val="1"/>
      <w:marLeft w:val="0"/>
      <w:marRight w:val="0"/>
      <w:marTop w:val="0"/>
      <w:marBottom w:val="0"/>
      <w:divBdr>
        <w:top w:val="none" w:sz="0" w:space="0" w:color="auto"/>
        <w:left w:val="none" w:sz="0" w:space="0" w:color="auto"/>
        <w:bottom w:val="none" w:sz="0" w:space="0" w:color="auto"/>
        <w:right w:val="none" w:sz="0" w:space="0" w:color="auto"/>
      </w:divBdr>
    </w:div>
    <w:div w:id="2038966266">
      <w:bodyDiv w:val="1"/>
      <w:marLeft w:val="0"/>
      <w:marRight w:val="0"/>
      <w:marTop w:val="0"/>
      <w:marBottom w:val="0"/>
      <w:divBdr>
        <w:top w:val="none" w:sz="0" w:space="0" w:color="auto"/>
        <w:left w:val="none" w:sz="0" w:space="0" w:color="auto"/>
        <w:bottom w:val="none" w:sz="0" w:space="0" w:color="auto"/>
        <w:right w:val="none" w:sz="0" w:space="0" w:color="auto"/>
      </w:divBdr>
    </w:div>
    <w:div w:id="2084528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sa.umich.edu/german/hmr/Grammatik/Relativsaetze/relativ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497</Words>
  <Characters>2834</Characters>
  <Application>Microsoft Macintosh Word</Application>
  <DocSecurity>0</DocSecurity>
  <Lines>23</Lines>
  <Paragraphs>6</Paragraphs>
  <ScaleCrop>false</ScaleCrop>
  <Company>German Department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Dischler</dc:creator>
  <cp:keywords/>
  <dc:description/>
  <cp:lastModifiedBy>Vicki Dischler</cp:lastModifiedBy>
  <cp:revision>27</cp:revision>
  <dcterms:created xsi:type="dcterms:W3CDTF">2014-11-14T22:43:00Z</dcterms:created>
  <dcterms:modified xsi:type="dcterms:W3CDTF">2014-11-17T21:51:00Z</dcterms:modified>
</cp:coreProperties>
</file>